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819in" draw:z-index="10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Woudenberg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Beantwoording 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01a. Bijlage 1 Beantwoording technische vragen ingekomen stukken november 2016
              <text:span text:style-name="T2"/>
            </text:p>
            <text:p text:style-name="P3"/>
          </table:table-cell>
          <table:table-cell table:style-name="Table3.A2" office:value-type="string">
            <text:p text:style-name="P4">24-04-2017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46,41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2-december/20:00/01a-Bijlage-1-Beantwoording-technische-vragen-ingekomen-stukken-november-20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01b. Bijlage 2 Beantwoording technische vragen ingekomen stukken september 2016-definitief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79,58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6/27-oktober/20:00/01b-Bijlage-2-Beantwoording-technische-vragen-ingekomen-stukken-september-2016-definiti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2017-04-20 Beantwoording van de technische vragen raad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175,70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2017-04-20-Beantwoording-van-de-technische-vragen-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2017-04-04 Beantwoording van de technische vragen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19-04-2017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244,18 KB</text:p>
          </table:table-cell>
          <table:table-cell table:style-name="Table3.A2" office:value-type="string">
            <text:p text:style-name="P22">
              <text:a xlink:type="simple" xlink:href="https://gemeentebestuur.woudenberg.nl/Vergaderingen/Gemeenteraad/2017/20-april/20:00/2017-04-04-Beantwoording-van-de-technische-vragen-raadscommiss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78" meta:character-count="540" meta:non-whitespace-character-count="4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303497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303497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