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10" meta:character-count="3845" meta:non-whitespace-character-count="3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