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over externe betrekkingen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Externe-betrekkingen/Beantwoording-vragen-over-externe-betrekking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GBW-fractie agendapunt 12 Belastingverodeningen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GBW-fractie-agendapunt-12-Belastingverod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CDA-fractie bij agendapunt 12. Belastingverordening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CDA-fractie-bij-agendapunt-12-Belasting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belastingverordening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belastingverordening-RC-02-12-2025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SGP-fractie over Belastingverordeningen (12)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SGP-fractie-over-Belastingverordeningen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 -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CDA-Rechtmatigheidsverantwoor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SGP-fractie over Rechtmatigheidsverordening (11)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SGP-fractie-over-Rechtmatigheidsverordening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najaarsrapportage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najaarsrapportage-RC-02-12-2025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LPvdA-agendapunt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GBW-fractie agendapunt 10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BW-fractie-agendapunt-10-Najaarsrapport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najaarsrapportage (10)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SGP-fractie-over-najaarsrapportage-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Voorbereidingskrediet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GBW-fractie-Voorbereidingskrediet-Fase-1-Cultuur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CDA-fractie bij agendapunt 9. Voorbereidingsfase 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CDA-fractie-bij-agendapunt-9-Voorbereidingsfase-Krediet-Fase-1-Cultuurh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1e krediet cultuurhuis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1e-krediet-cultuurhuis-RC-02-12-2025-VV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SGP-fractie over Voorbereidingskrediet Fase I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SGP-fractie-over-Voorbereidingskrediet-Fase-I-Cultuur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SGP-fractie over Integrale verorderning sociaal domein 2026 (8)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SGP-fractie-over-Integrale-verorderning-sociaal-domein-2026-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GBW-fractie agendapunt 8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GBW-fractie-agendapunt-8-Integrale-verordening-sociaal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CDA - Integrale verordening Sociaal Domein 2026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CDA-Integrale-verordening-Sociaal-Domein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Digitale dienstverlening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Digitale-dienstverlening-RC-02-12-2025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CDA-fractie bij agendapunt 7. Doelen digitale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CDA-fractie-bij-agendapunt-7-Doelen-digitale-dienstverl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GBW-fractie over doelen voor (digitale)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GBW-fractie-over-doelen-voor-digitale-dienstverl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5" meta:paragraph-count="221" meta:word-count="522" meta:character-count="3940" meta:non-whitespace-character-count="3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