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2021-01-19 openbare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64,11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9-januari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2021-01-12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61,06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2-januari-202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2021-01-05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67,64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5-januari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2020-12-22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08-01-2021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173,67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2-december-2020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2020-12-15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197,99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5-december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66" meta:character-count="496" meta:non-whitespace-character-count="4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2035544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2035544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