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13.a CA Memo Stand van zaken regionaal VAB beleid 258647_1 2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3-a-CA-Memo-Stand-van-zaken-regionaal-VAB-beleid-258647-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12.b Begroting GGDrU 2024-0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2-b-Begroting-GGDrU-2024-0-augustus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12.a Woudenberg GGDrU vastgestelde begroting 2024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2-a-Woudenberg-GGDrU-vastgestelde-begroting-2024-aan-r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12.d Samenvattend overzicht zienswijzen (ontwerp)begroting 2024 versie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2-d-Samenvattend-overzicht-zienswijzen-ontwerp-begroting-2024-versie-augustus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12.c GGDrU Infographic Begroting 2024 - printversie augustus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2-c-GGDrU-Infographic-Begroting-2024-printversie-august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11.a 230720 Schriftelijke vragen GBW begrotingsadvies VNG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1-a-230720-Schriftelijke-vragen-GBW-begrotingsadvies-V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10.c CA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0-c-CA-Nationale-Ombuds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10.b Bijlage I - Nationale Ombudsman Rapport Burger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0-b-Bijlage-I-Nationale-Ombudsman-Rapport-Burger-in-zi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10.a Raadsinformatiebrief rapport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0-a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09. Stand van zaken Evaluatie GGiD augustus 2023 tbv raden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Stand-van-zaken-Evaluatie-GGiD-augustus-2023-tbv-ra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7" meta:character-count="986" meta:non-whitespace-character-count="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