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07.a PvA rechtmatigheid sociaal domein regio Am 2023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7-a-PvA-rechtmatigheid-sociaal-domein-regio-Am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06.b CA Veiligheidsontwikkeling 12 maandcijfers 2023 gemeente Woudenberg (geanonimiseerd) (6)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6-b-CA-Veiligheidsontwikkeling-12-maandcijfers-2023-gemeente-Woudenberg-geanonimiseerd-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06.a Veiligheidsbeeld 12maandsrapportage 2023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6-a-Veiligheidsbeeld-12maandsrapportage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04.a Uitwerkingsplan grondstoffenbeleid 2024-2025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4-a-Uitwerkingsplan-grondstoffenbeleid-2024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03.a Raadsinfobrief Afvalinzameling Hoevelaar Fase 2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3-a-Raadsinfobrief-Afvalinzameling-Hoevelaar-Fas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05.b Bijlage 1 - Routekaart RUD-ODRU versie 0.7 def (1) (1)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5-b-Bijlage-1-Routekaart-RUD-ODRU-versie-0-7-def-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05.a Brief Update ontwikkeling samenwerking OD-8 dec 2023 RUD Utrecht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5-a-Brief-Update-ontwikkeling-samenwerking-OD-8-dec-2023-RUD-Utrech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05.c Collegebesluit RUD-ODRU stavaza fusie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5-c-Collegebesluit-RUD-ODRU-stavaza-fus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02.a Brief provincie aan raad over toezicht begroting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2-a-Brief-provincie-aan-raad-over-toezicht-begroting-2024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08.a CA vaststellen Onderzoeksopdracht van de buitendienst en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8-a-CA-vaststellen-Onderzoeksopdracht-van-de-buitendienst-en-de-milieustraa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08.c Advies OR onderzoeksopdracht toekomstbestendige buitendienst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8-c-Advies-OR-onderzoeksopdracht-toekomstbestendige-buitendien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08.b Onderzoeksopdracht buitendienst en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8-b-Onderzoeksopdracht-buitendienst-en-milieu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07.b Jaarverslag 2023 commissie bezwaarschriften voor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7-b-Jaarverslag-2023-commissie-bezwaarschriften-voor-gemeente-Woudenbe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07.a collegevoorstel Jaarverslag commissie bezwaarschriften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7-a-collegevoorstel-Jaarverslag-commissie-bezwaarschriften-2023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06.a Zienswijze ontwerpbestemmingsplan Voskuilerdijk 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6-a-Zienswijze-ontwerpbestemmingsplan-Voskuilerdijk-26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05.b Rapportage CDKS Q3 2023 DEF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5-b-Rapportage-CDKS-Q3-2023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05.a CA Rapportage Q3 2023 van Cooperatie De Kleine Schans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5-a-CA-Rapportage-Q3-2023-van-Cooperatie-De-Kleine-Schans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51" meta:character-count="1752" meta:non-whitespace-character-count="16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