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2019-11-28_motie_vreemd_aan_de_orde_van_de_dag_pvdagl_cda_watertappuntenverworpen_a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222,49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11-28-motie-vreemd-aan-de-orde-van-de-dag-pvdagl-cda-watertappuntenverworpen-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2019-11-28_motie_vreemd_aan_de_orde_van_de_dag_cda_pvdagl_sgp_communicatie_achterstand_onroerende_zaakbelastingaanslagenunaniem_aangenomen_a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228,79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11-28-motie-vreemd-aan-de-orde-van-de-dag-cda-pvdagl-sgp-communicatie-achterstand-onroerende-zaakbelastingaanslagenunaniem-aangenomen-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2019-11-28_motie_vreemd_aan_de_orde_van_de_dag_cda_pvdagl_sgp_achterstand_onroerende_zaakbelastingaanslagenunaniem_aangenomen_a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239,31 KB</text:p>
          </table:table-cell>
          <table:table-cell table:style-name="Table3.A2" office:value-type="string">
            <text:p text:style-name="P22">
              <text:a xlink:type="simple" xlink:href="https://gemeentebestuur.woudenberg.nl/documenten/Motie/2019-11-28-motie-vreemd-aan-de-orde-van-de-dag-cda-pvdagl-sgp-achterstand-onroerende-zaakbelastingaanslagenunaniem-aangenomen-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39" meta:character-count="552" meta:non-whitespace-character-count="54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1143917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1143917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