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2019-11-28_motie_vreemd_aan_de_orde_van_de_dag_pvdagl_cda_watertappuntenverworpen_a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2019-11-28_motie_vreemd_aan_de_orde_van_de_dag_cda_pvdagl_sgp_communicatie_achterstand_onroerende_zaakbelastingaanslagenunaniem_aangenomen_a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2019-11-28_motie_vreemd_aan_de_orde_van_de_dag_cda_pvdagl_sgp_achterstand_onroerende_zaakbelastingaanslagenunaniem_aangenomen_a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9-11-28-motie-vreemd-aan-de-orde-van-de-dag-pvdagl-cda-watertappuntenverworpen-a.pdf" TargetMode="External" /><Relationship Id="rId26" Type="http://schemas.openxmlformats.org/officeDocument/2006/relationships/hyperlink" Target="https://gemeentebestuur.woudenberg.nl/documenten/Motie/2019-11-28-motie-vreemd-aan-de-orde-van-de-dag-cda-pvdagl-sgp-communicatie-achterstand-onroerende-zaakbelastingaanslagenunaniem-aangenomen-a.pdf" TargetMode="External" /><Relationship Id="rId27" Type="http://schemas.openxmlformats.org/officeDocument/2006/relationships/hyperlink" Target="https://gemeentebestuur.woudenberg.nl/documenten/Motie/2019-11-28-motie-vreemd-aan-de-orde-van-de-dag-cda-pvdagl-sgp-achterstand-onroerende-zaakbelastingaanslagenunaniem-aangenomen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