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17.a Schriftelijke vragen mw. Houtsma over inrichting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7-a-Schriftelijke-vragen-mw-Houtsma-over-inrichting-openbaar-gr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16.a Schriftelijke vragen over persbericht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6-a-Schriftelijke-vragen-over-persbericht-zonneve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15.a Schriftelijke vragen consequenties sluiting boekhandel van Lunteren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5-a-Schriftelijke-vragen-consequenties-sluiting-boekhandel-van-Lunt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404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